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Are You Ready for Capability Development?</w:t>
      </w:r>
    </w:p>
    <w:p>
      <w:pPr>
        <w:spacing w:after="360"/>
      </w:pPr>
      <w:r>
        <w:rPr>
          <w:i/>
          <w:iCs/>
          <w:color w:val="6C757D"/>
        </w:rPr>
        <w:t xml:space="preserve">A self-assessment to determine if organizational change capability development is the right approach for you now.</w:t>
      </w:r>
    </w:p>
    <w:p>
      <w:pPr>
        <w:pStyle w:val="Heading2"/>
      </w:pPr>
      <w:r>
        <w:t xml:space="preserve">How to Use This Assessment</w:t>
      </w:r>
    </w:p>
    <w:p>
      <w:pPr>
        <w:spacing w:after="120"/>
      </w:pPr>
      <w:r>
        <w:t xml:space="preserve">Answer each question honestly. Score yourself on a scale of 1-5, where:</w:t>
      </w:r>
    </w:p>
    <w:p>
      <w:pPr>
        <w:pStyle w:val="ListParagraph"/>
        <w:numPr>
          <w:ilvl w:val="0"/>
          <w:numId w:val="2"/>
        </w:numPr>
      </w:pPr>
      <w:r>
        <w:rPr>
          <w:b/>
          <w:bCs/>
        </w:rPr>
        <w:t xml:space="preserve">1 = Strongly Disagree</w:t>
      </w:r>
    </w:p>
    <w:p>
      <w:pPr>
        <w:pStyle w:val="ListParagraph"/>
        <w:numPr>
          <w:ilvl w:val="0"/>
          <w:numId w:val="2"/>
        </w:numPr>
      </w:pPr>
      <w:r>
        <w:rPr>
          <w:b/>
          <w:bCs/>
        </w:rPr>
        <w:t xml:space="preserve">3 = Neutral / Sometimes</w:t>
      </w:r>
    </w:p>
    <w:p>
      <w:pPr>
        <w:pStyle w:val="ListParagraph"/>
        <w:numPr>
          <w:ilvl w:val="0"/>
          <w:numId w:val="2"/>
        </w:numPr>
        <w:spacing w:after="240"/>
      </w:pPr>
      <w:r>
        <w:rPr>
          <w:b/>
          <w:bCs/>
        </w:rPr>
        <w:t xml:space="preserve">5 = Strongly Agree</w:t>
      </w:r>
    </w:p>
    <w:p>
      <w:pPr>
        <w:spacing w:after="360"/>
      </w:pPr>
      <w:r>
        <w:t xml:space="preserve">At the end, total your score to see if you're ready for capability development, need to build readiness first, or should start with a different approach.</w:t>
      </w:r>
    </w:p>
    <w:p>
      <w:pPr>
        <w:pStyle w:val="Heading2"/>
      </w:pPr>
      <w:r>
        <w:t xml:space="preserve">Section 1: Your Change Landscape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0F4C5C"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vAlign w:val="cente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vAlign w:val="cente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vAlign w:val="cente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vAlign w:val="cente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vAlign w:val="cente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organization faces multiple, overlapping changes simultaneously (not one at a time).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Change is constant in our industry—we need to adapt continuously, not occasionally.</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teams experience change fatigue from too many transformations.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We spend significant budget on change consultants year after year.</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Changes we implement often don't stick—we revert to old behaviors over time.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2: Leadership Commitment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0F4C5C"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senior leadership team is aligned on the need to build change capability.</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Leadership is willing to invest 6-12 months in capability development.</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executives are committed to developing internal expertise (not just hiring consultants).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Leadership is willing to dedicate internal resources to this initiative.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Our leadership team models adaptability and supports organizational learning.</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3: Organizational Readiness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0F4C5C"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have people who can dedicate 5-10 hours/month to becoming change champions.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Our culture supports learning and experimentation (not just execution).</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have basic project management or PMO structures in place.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People across the organization want to build change skills (not just leadership).</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We're willing to measure capability growth, not just project completion.</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240"/>
      </w:pPr>
    </w:p>
    <w:p>
      <w:pPr>
        <w:pStyle w:val="Heading2"/>
      </w:pPr>
      <w:r>
        <w:t xml:space="preserve">Section 4: Strategic Intent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000"/>
        <w:gridCol w:w="600"/>
        <w:gridCol w:w="600"/>
        <w:gridCol w:w="600"/>
        <w:gridCol w:w="600"/>
        <w:gridCol w:w="600"/>
      </w:tblGrid>
      <w:tr>
        <w:tc>
          <w:tcPr>
            <w:tcW w:type="dxa" w:w="7000"/>
            <w:tcBorders>
              <w:top w:val="single" w:color="CCCCCC" w:sz="1"/>
              <w:left w:val="single" w:color="CCCCCC" w:sz="1"/>
              <w:bottom w:val="single" w:color="CCCCCC" w:sz="1"/>
              <w:right w:val="single" w:color="CCCCCC" w:sz="1"/>
            </w:tcBorders>
            <w:shd w:fill="0F4C5C" w:val="clear"/>
            <w:tcMar>
              <w:top w:type="dxa" w:w="80"/>
              <w:left w:type="dxa" w:w="120"/>
              <w:bottom w:type="dxa" w:w="80"/>
              <w:right w:type="dxa" w:w="120"/>
            </w:tcMar>
          </w:tcPr>
          <w:p>
            <w:r>
              <w:rPr>
                <w:b/>
                <w:bCs/>
                <w:color w:val="FFFFFF"/>
              </w:rPr>
              <w:t xml:space="preserve">Statement</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1</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2</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3</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4</w:t>
            </w:r>
          </w:p>
        </w:tc>
        <w:tc>
          <w:tcPr>
            <w:tcW w:type="dxa" w:w="600"/>
            <w:tcBorders>
              <w:top w:val="single" w:color="CCCCCC" w:sz="1"/>
              <w:left w:val="single" w:color="CCCCCC" w:sz="1"/>
              <w:bottom w:val="single" w:color="CCCCCC" w:sz="1"/>
              <w:right w:val="single" w:color="CCCCCC" w:sz="1"/>
            </w:tcBorders>
            <w:shd w:fill="0F4C5C" w:val="clear"/>
            <w:tcMar>
              <w:top w:type="dxa" w:w="80"/>
              <w:left w:type="dxa" w:w="40"/>
              <w:bottom w:type="dxa" w:w="80"/>
              <w:right w:type="dxa" w:w="40"/>
            </w:tcMar>
          </w:tcPr>
          <w:p>
            <w:pPr>
              <w:jc w:val="center"/>
            </w:pPr>
            <w:r>
              <w:rPr>
                <w:b/>
                <w:bCs/>
                <w:color w:val="FFFFFF"/>
              </w:rPr>
              <w:t xml:space="preserve">5</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 recognize that faster adaptation is a competitive advantage in our market.</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We're tired of consultant dependency—we want to build our own expertise.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Building change capability aligns with our strategic priorities.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EADBC8" w:val="clear"/>
            <w:tcMar>
              <w:top w:type="dxa" w:w="100"/>
              <w:left w:type="dxa" w:w="120"/>
              <w:bottom w:type="dxa" w:w="100"/>
              <w:right w:type="dxa" w:w="120"/>
            </w:tcMar>
          </w:tcPr>
          <w:p>
            <w:r>
              <w:t xml:space="preserve">We're looking for sustainable capability, not a quick fix for one transformation.</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EADBC8" w:val="clear"/>
            <w:tcMar>
              <w:top w:type="dxa" w:w="100"/>
              <w:left w:type="dxa" w:w="40"/>
              <w:bottom w:type="dxa" w:w="100"/>
              <w:right w:type="dxa" w:w="40"/>
            </w:tcMar>
          </w:tcPr>
          <w:p>
            <w:pPr>
              <w:jc w:val="center"/>
            </w:pPr>
            <w:r>
              <w:t xml:space="preserve">☐</w:t>
            </w:r>
          </w:p>
        </w:tc>
      </w:tr>
      <w:tr>
        <w:tc>
          <w:tcPr>
            <w:tcW w:type="dxa" w:w="7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t xml:space="preserve">We're committed to embedding change practices into how we operate (not a parallel process).</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c>
          <w:tcPr>
            <w:tcW w:type="dxa" w:w="600"/>
            <w:tcBorders>
              <w:top w:val="single" w:color="CCCCCC" w:sz="1"/>
              <w:left w:val="single" w:color="CCCCCC" w:sz="1"/>
              <w:bottom w:val="single" w:color="CCCCCC" w:sz="1"/>
              <w:right w:val="single" w:color="CCCCCC" w:sz="1"/>
            </w:tcBorders>
            <w:shd w:fill="FFFFFF" w:val="clear"/>
            <w:tcMar>
              <w:top w:type="dxa" w:w="100"/>
              <w:left w:type="dxa" w:w="40"/>
              <w:bottom w:type="dxa" w:w="100"/>
              <w:right w:type="dxa" w:w="40"/>
            </w:tcMar>
          </w:tcPr>
          <w:p>
            <w:pPr>
              <w:jc w:val="center"/>
            </w:pPr>
            <w:r>
              <w:t xml:space="preserve">☐</w:t>
            </w:r>
          </w:p>
        </w:tc>
      </w:tr>
    </w:tbl>
    <w:p>
      <w:pPr>
        <w:spacing w:after="360"/>
      </w:pPr>
    </w:p>
    <w:p>
      <w:pPr>
        <w:pStyle w:val="Heading2"/>
      </w:pPr>
      <w:r>
        <w:t xml:space="preserve">Your Results</w:t>
      </w:r>
    </w:p>
    <w:p>
      <w:pPr>
        <w:spacing w:after="120"/>
      </w:pPr>
      <w:r>
        <w:rPr>
          <w:b/>
          <w:bCs/>
        </w:rPr>
        <w:t xml:space="preserve">Total your score across all 20 questions:</w:t>
      </w:r>
    </w:p>
    <w:p>
      <w:pPr>
        <w:spacing w:after="360"/>
      </w:pPr>
      <w:r>
        <w:t xml:space="preserve">My Total Score: _____ / 100</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2E7D32" w:val="clear"/>
            <w:tcMar>
              <w:top w:type="dxa" w:w="120"/>
              <w:left w:type="dxa" w:w="120"/>
              <w:bottom w:type="dxa" w:w="120"/>
              <w:right w:type="dxa" w:w="120"/>
            </w:tcMar>
          </w:tcPr>
          <w:p>
            <w:pPr>
              <w:jc w:val="center"/>
            </w:pPr>
            <w:r>
              <w:rPr>
                <w:b/>
                <w:bCs/>
                <w:color w:val="FFFFFF"/>
                <w:sz w:val="28"/>
                <w:szCs w:val="28"/>
              </w:rPr>
              <w:t xml:space="preserve">80-100</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You're Ready for Capability Development</w:t>
            </w:r>
          </w:p>
          <w:p>
            <w:r>
              <w:t xml:space="preserve">Your organization shows strong indicators for successful capability development. You have the change landscape, leadership commitment, readiness, and strategic intent needed. Schedule a consultation to discuss your specific context and create a capability roadmap.</w:t>
            </w:r>
          </w:p>
        </w:tc>
      </w:tr>
      <w:tr>
        <w:tc>
          <w:tcPr>
            <w:tcW w:type="dxa" w:w="2000"/>
            <w:tcBorders>
              <w:top w:val="single" w:color="CCCCCC" w:sz="1"/>
              <w:left w:val="single" w:color="CCCCCC" w:sz="1"/>
              <w:bottom w:val="single" w:color="CCCCCC" w:sz="1"/>
              <w:right w:val="single" w:color="CCCCCC" w:sz="1"/>
            </w:tcBorders>
            <w:shd w:fill="F57C00" w:val="clear"/>
            <w:tcMar>
              <w:top w:type="dxa" w:w="120"/>
              <w:left w:type="dxa" w:w="120"/>
              <w:bottom w:type="dxa" w:w="120"/>
              <w:right w:type="dxa" w:w="120"/>
            </w:tcMar>
          </w:tcPr>
          <w:p>
            <w:pPr>
              <w:jc w:val="center"/>
            </w:pPr>
            <w:r>
              <w:rPr>
                <w:b/>
                <w:bCs/>
                <w:color w:val="FFFFFF"/>
                <w:sz w:val="28"/>
                <w:szCs w:val="28"/>
              </w:rPr>
              <w:t xml:space="preserve">60-79</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Build Readiness First</w:t>
            </w:r>
          </w:p>
          <w:p>
            <w:r>
              <w:t xml:space="preserve">You have some readiness but need to strengthen certain areas first. Focus on building leadership alignment, securing resources, or demonstrating value through a pilot initiative. Consider starting with a workshop or advisory engagement to build momentum, then revisit capability development in 6-12 months.</w:t>
            </w:r>
          </w:p>
        </w:tc>
      </w:tr>
      <w:tr>
        <w:tc>
          <w:tcPr>
            <w:tcW w:type="dxa" w:w="2000"/>
            <w:tcBorders>
              <w:top w:val="single" w:color="CCCCCC" w:sz="1"/>
              <w:left w:val="single" w:color="CCCCCC" w:sz="1"/>
              <w:bottom w:val="single" w:color="CCCCCC" w:sz="1"/>
              <w:right w:val="single" w:color="CCCCCC" w:sz="1"/>
            </w:tcBorders>
            <w:shd w:fill="C62828" w:val="clear"/>
            <w:tcMar>
              <w:top w:type="dxa" w:w="120"/>
              <w:left w:type="dxa" w:w="120"/>
              <w:bottom w:type="dxa" w:w="120"/>
              <w:right w:type="dxa" w:w="120"/>
            </w:tcMar>
          </w:tcPr>
          <w:p>
            <w:pPr>
              <w:jc w:val="center"/>
            </w:pPr>
            <w:r>
              <w:rPr>
                <w:b/>
                <w:bCs/>
                <w:color w:val="FFFFFF"/>
                <w:sz w:val="28"/>
                <w:szCs w:val="28"/>
              </w:rPr>
              <w:t xml:space="preserve">Below 60</w:t>
            </w:r>
          </w:p>
        </w:tc>
        <w:tc>
          <w:tcPr>
            <w:tcW w:type="dxa" w:w="7360"/>
            <w:tcBorders>
              <w:top w:val="single" w:color="CCCCCC" w:sz="1"/>
              <w:left w:val="single" w:color="CCCCCC" w:sz="1"/>
              <w:bottom w:val="single" w:color="CCCCCC" w:sz="1"/>
              <w:right w:val="single" w:color="CCCCCC" w:sz="1"/>
            </w:tcBorders>
            <w:tcMar>
              <w:top w:type="dxa" w:w="120"/>
              <w:left w:type="dxa" w:w="120"/>
              <w:bottom w:type="dxa" w:w="120"/>
              <w:right w:type="dxa" w:w="120"/>
            </w:tcMar>
          </w:tcPr>
          <w:p>
            <w:pPr>
              <w:spacing w:after="80"/>
            </w:pPr>
            <w:r>
              <w:rPr>
                <w:b/>
                <w:bCs/>
                <w:sz w:val="26"/>
                <w:szCs w:val="26"/>
              </w:rPr>
              <w:t xml:space="preserve">Start Elsewhere</w:t>
            </w:r>
          </w:p>
          <w:p>
            <w:r>
              <w:t xml:space="preserve">Capability development may not be the right starting point right now. Consider: (1) Change Management Advisory for an immediate transformation need, (2) Workshops to build team skills and awareness, or (3) Leadership Development to strengthen executive commitment first. These create the foundation for future capability development.</w:t>
            </w:r>
          </w:p>
        </w:tc>
      </w:tr>
    </w:tbl>
    <w:p>
      <w:pPr>
        <w:spacing w:after="360"/>
      </w:pPr>
    </w:p>
    <w:p>
      <w:pPr>
        <w:pStyle w:val="Heading2"/>
      </w:pPr>
      <w:r>
        <w:t xml:space="preserve">Next Steps</w:t>
      </w:r>
    </w:p>
    <w:p>
      <w:pPr>
        <w:spacing w:after="120"/>
      </w:pPr>
      <w:r>
        <w:rPr>
          <w:b/>
          <w:bCs/>
        </w:rPr>
        <w:t xml:space="preserve">Whatever your score, let's have a conversation.</w:t>
      </w:r>
    </w:p>
    <w:p>
      <w:pPr>
        <w:spacing w:after="120"/>
      </w:pPr>
      <w:r>
        <w:t xml:space="preserve">This assessment gives you a snapshot, but every organization is unique. A free consultation will help us:</w:t>
      </w:r>
    </w:p>
    <w:p>
      <w:pPr>
        <w:pStyle w:val="ListParagraph"/>
        <w:numPr>
          <w:ilvl w:val="0"/>
          <w:numId w:val="2"/>
        </w:numPr>
      </w:pPr>
      <w:r>
        <w:t xml:space="preserve">Discuss your specific change landscape and challenges</w:t>
      </w:r>
    </w:p>
    <w:p>
      <w:pPr>
        <w:pStyle w:val="ListParagraph"/>
        <w:numPr>
          <w:ilvl w:val="0"/>
          <w:numId w:val="2"/>
        </w:numPr>
      </w:pPr>
      <w:r>
        <w:t xml:space="preserve">Determine if capability development is the right path now</w:t>
      </w:r>
    </w:p>
    <w:p>
      <w:pPr>
        <w:pStyle w:val="ListParagraph"/>
        <w:numPr>
          <w:ilvl w:val="0"/>
          <w:numId w:val="2"/>
        </w:numPr>
      </w:pPr>
      <w:r>
        <w:t xml:space="preserve">Identify any gaps that need to be addressed first</w:t>
      </w:r>
    </w:p>
    <w:p>
      <w:pPr>
        <w:pStyle w:val="ListParagraph"/>
        <w:numPr>
          <w:ilvl w:val="0"/>
          <w:numId w:val="2"/>
        </w:numPr>
        <w:spacing w:after="240"/>
      </w:pPr>
      <w:r>
        <w:t xml:space="preserve">Create a preliminary roadmap if you're ready to move forward</w:t>
      </w:r>
    </w:p>
    <w:p>
      <w:pPr>
        <w:spacing w:after="80"/>
      </w:pPr>
      <w:r>
        <w:rPr>
          <w:b/>
          <w:bCs/>
        </w:rPr>
        <w:t xml:space="preserve">Schedule your free consultation:</w:t>
      </w:r>
    </w:p>
    <w:p>
      <w:pPr>
        <w:spacing w:after="80"/>
      </w:pPr>
      <w:r>
        <w:rPr>
          <w:color w:val="0F4C5C"/>
          <w:u w:val="single"/>
        </w:rPr>
        <w:t xml:space="preserve">www.kellybrogdongeyer.com/contact</w:t>
      </w:r>
    </w:p>
    <w:p>
      <w:pPr>
        <w:spacing w:after="360"/>
      </w:pPr>
      <w:r>
        <w:rPr>
          <w:color w:val="0F4C5C"/>
          <w:u w:val="single"/>
        </w:rPr>
        <w:t xml:space="preserve">kellybgeyer@gmail.com</w:t>
      </w:r>
    </w:p>
    <w:p>
      <w:pPr>
        <w:pBdr>
          <w:top w:val="single" w:color="EADBC8" w:sz="6"/>
        </w:pBdr>
        <w:spacing w:before="240"/>
        <w:jc w:val="center"/>
      </w:pPr>
      <w:r>
        <w:rPr>
          <w:color w:val="6C757D"/>
          <w:sz w:val="20"/>
          <w:szCs w:val="20"/>
        </w:rPr>
        <w:t xml:space="preserve">© 2025 Kelly Brogdon Geyer | Change Management &amp; Leadership Development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0F4C5C"/>
      <w:sz w:val="32"/>
      <w:szCs w:val="32"/>
    </w:rPr>
  </w:style>
  <w:style w:type="paragraph" w:styleId="Heading2">
    <w:name w:val="Heading 2"/>
    <w:basedOn w:val="Normal"/>
    <w:next w:val="Normal"/>
    <w:qFormat/>
    <w:pPr>
      <w:spacing w:before="180" w:after="120"/>
      <w:outlineLvl w:val="1"/>
    </w:pPr>
    <w:rPr>
      <w:rFonts w:ascii="Arial" w:cs="Arial" w:eastAsia="Arial" w:hAnsi="Arial"/>
      <w:b/>
      <w:bCs/>
      <w:color w:val="0F4C5C"/>
      <w:sz w:val="28"/>
      <w:szCs w:val="28"/>
    </w:rPr>
  </w:style>
  <w:style w:type="paragraph" w:styleId="Heading3">
    <w:name w:val="Heading 3"/>
    <w:basedOn w:val="Normal"/>
    <w:next w:val="Normal"/>
    <w:qFormat/>
    <w:pPr>
      <w:spacing w:before="120" w:after="80"/>
      <w:outlineLvl w:val="2"/>
    </w:pPr>
    <w:rPr>
      <w:rFonts w:ascii="Arial" w:cs="Arial" w:eastAsia="Arial" w:hAnsi="Arial"/>
      <w:b/>
      <w:bCs/>
      <w:color w:val="6C757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2026-01-19T16:32:27.893Z</dcterms:created>
  <dcterms:modified xsi:type="dcterms:W3CDTF">2026-01-19T16:32:27.894Z</dcterms:modified>
</cp:coreProperties>
</file>

<file path=docProps/custom.xml><?xml version="1.0" encoding="utf-8"?>
<Properties xmlns="http://schemas.openxmlformats.org/officeDocument/2006/custom-properties" xmlns:vt="http://schemas.openxmlformats.org/officeDocument/2006/docPropsVTypes"/>
</file>